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61A52" w14:textId="77777777" w:rsidR="00262FEA" w:rsidRPr="00262FEA" w:rsidRDefault="00262FEA" w:rsidP="00262FE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entury Gothic" w:eastAsia="Times New Roman" w:hAnsi="Century Gothic" w:cs="Arial"/>
          <w:sz w:val="18"/>
          <w:szCs w:val="18"/>
          <w:lang w:val="es-MX" w:eastAsia="es-MX"/>
        </w:rPr>
      </w:pPr>
      <w:bookmarkStart w:id="0" w:name="_GoBack"/>
      <w:bookmarkEnd w:id="0"/>
    </w:p>
    <w:p w14:paraId="416E38D0" w14:textId="282028D3" w:rsidR="00BE3087" w:rsidRDefault="00783DCC" w:rsidP="00783DCC">
      <w:pPr>
        <w:pStyle w:val="Prrafodelista"/>
        <w:spacing w:line="276" w:lineRule="auto"/>
        <w:ind w:left="1440" w:right="51"/>
        <w:jc w:val="center"/>
        <w:outlineLvl w:val="0"/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</w:pPr>
      <w:r w:rsidRPr="00783DCC"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  <w:t xml:space="preserve">Anexo 8 </w:t>
      </w:r>
      <w:r w:rsidR="00BE3087" w:rsidRPr="00783DCC"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  <w:t>Resultado de las acciones para atender los as</w:t>
      </w:r>
      <w:r w:rsidRPr="00783DCC"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  <w:t>pectos susceptibles de mejora</w:t>
      </w:r>
    </w:p>
    <w:p w14:paraId="74CAF087" w14:textId="77777777" w:rsidR="00783DCC" w:rsidRPr="00783DCC" w:rsidRDefault="00783DCC" w:rsidP="00783DCC">
      <w:pPr>
        <w:pStyle w:val="Prrafodelista"/>
        <w:spacing w:line="276" w:lineRule="auto"/>
        <w:ind w:left="1440" w:right="51"/>
        <w:jc w:val="center"/>
        <w:outlineLvl w:val="0"/>
        <w:rPr>
          <w:rFonts w:ascii="Century Gothic" w:hAnsi="Century Gothic" w:cs="Arial"/>
          <w:b/>
          <w:bCs/>
          <w:color w:val="000000"/>
          <w:sz w:val="22"/>
          <w:szCs w:val="22"/>
          <w:lang w:val="es-MX"/>
        </w:rPr>
      </w:pPr>
    </w:p>
    <w:tbl>
      <w:tblPr>
        <w:tblW w:w="5301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  <w:gridCol w:w="2555"/>
      </w:tblGrid>
      <w:tr w:rsidR="00783DCC" w:rsidRPr="003A5A14" w14:paraId="107BE6CD" w14:textId="77777777" w:rsidTr="00DE20F6">
        <w:trPr>
          <w:trHeight w:val="63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795B2C66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Nombre del Programa:</w:t>
            </w:r>
          </w:p>
        </w:tc>
        <w:tc>
          <w:tcPr>
            <w:tcW w:w="2555" w:type="dxa"/>
            <w:shd w:val="clear" w:color="auto" w:fill="auto"/>
          </w:tcPr>
          <w:p w14:paraId="39C332AD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Programa Nacional de Becas</w:t>
            </w:r>
          </w:p>
        </w:tc>
      </w:tr>
      <w:tr w:rsidR="00783DCC" w:rsidRPr="003A5A14" w14:paraId="6A591458" w14:textId="77777777" w:rsidTr="00DE20F6">
        <w:trPr>
          <w:trHeight w:val="149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7C51F2AD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Modalidad:</w:t>
            </w:r>
          </w:p>
        </w:tc>
        <w:tc>
          <w:tcPr>
            <w:tcW w:w="2555" w:type="dxa"/>
            <w:shd w:val="clear" w:color="auto" w:fill="auto"/>
          </w:tcPr>
          <w:p w14:paraId="6ED7DD7E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S243</w:t>
            </w:r>
          </w:p>
        </w:tc>
      </w:tr>
      <w:tr w:rsidR="00783DCC" w:rsidRPr="003A5A14" w14:paraId="41CC2F23" w14:textId="77777777" w:rsidTr="00DE20F6">
        <w:trPr>
          <w:trHeight w:val="81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766E719F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Dependencia/Entidad:</w:t>
            </w:r>
          </w:p>
        </w:tc>
        <w:tc>
          <w:tcPr>
            <w:tcW w:w="2555" w:type="dxa"/>
            <w:shd w:val="clear" w:color="auto" w:fill="auto"/>
          </w:tcPr>
          <w:p w14:paraId="0609D20F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SEP</w:t>
            </w:r>
          </w:p>
        </w:tc>
      </w:tr>
      <w:tr w:rsidR="00783DCC" w:rsidRPr="003A5A14" w14:paraId="2340EEEC" w14:textId="77777777" w:rsidTr="00DE20F6">
        <w:trPr>
          <w:trHeight w:val="154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51393991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Unidad Responsable:</w:t>
            </w:r>
          </w:p>
        </w:tc>
        <w:tc>
          <w:tcPr>
            <w:tcW w:w="2555" w:type="dxa"/>
            <w:shd w:val="clear" w:color="auto" w:fill="auto"/>
          </w:tcPr>
          <w:p w14:paraId="1B624014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</w:p>
        </w:tc>
      </w:tr>
      <w:tr w:rsidR="00783DCC" w:rsidRPr="003A5A14" w14:paraId="167C6EF9" w14:textId="77777777" w:rsidTr="00DE20F6">
        <w:trPr>
          <w:trHeight w:val="87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0D1A9B4B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Tipo de Evaluación:</w:t>
            </w:r>
          </w:p>
        </w:tc>
        <w:tc>
          <w:tcPr>
            <w:tcW w:w="2555" w:type="dxa"/>
            <w:shd w:val="clear" w:color="auto" w:fill="auto"/>
          </w:tcPr>
          <w:p w14:paraId="50C451A1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Evaluación de Consistencia y Resultados</w:t>
            </w:r>
          </w:p>
        </w:tc>
      </w:tr>
      <w:tr w:rsidR="00783DCC" w:rsidRPr="003A5A14" w14:paraId="61F8D4EC" w14:textId="77777777" w:rsidTr="00DE20F6">
        <w:trPr>
          <w:trHeight w:val="175"/>
        </w:trPr>
        <w:tc>
          <w:tcPr>
            <w:tcW w:w="2746" w:type="dxa"/>
            <w:shd w:val="clear" w:color="auto" w:fill="auto"/>
            <w:noWrap/>
            <w:vAlign w:val="bottom"/>
            <w:hideMark/>
          </w:tcPr>
          <w:p w14:paraId="3EBA05FF" w14:textId="77777777" w:rsidR="00783DCC" w:rsidRPr="008B5B74" w:rsidRDefault="00783DCC" w:rsidP="00DE20F6">
            <w:pPr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</w:pPr>
            <w:r w:rsidRPr="008B5B74">
              <w:rPr>
                <w:rFonts w:ascii="Century Gothic" w:hAnsi="Century Gothic" w:cs="Arial"/>
                <w:bCs/>
                <w:color w:val="000000"/>
                <w:sz w:val="16"/>
                <w:szCs w:val="16"/>
                <w:lang w:val="es-MX"/>
              </w:rPr>
              <w:t>Año de la Evaluación:</w:t>
            </w:r>
          </w:p>
        </w:tc>
        <w:tc>
          <w:tcPr>
            <w:tcW w:w="2555" w:type="dxa"/>
            <w:shd w:val="clear" w:color="auto" w:fill="auto"/>
          </w:tcPr>
          <w:p w14:paraId="0184E2AE" w14:textId="77777777" w:rsidR="00783DCC" w:rsidRPr="003A5A14" w:rsidRDefault="00783DCC" w:rsidP="00DE20F6">
            <w:pP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</w:pPr>
            <w:r w:rsidRPr="003A5A1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  <w:lang w:val="es-MX"/>
              </w:rPr>
              <w:t>2017</w:t>
            </w:r>
          </w:p>
        </w:tc>
      </w:tr>
    </w:tbl>
    <w:p w14:paraId="0705820F" w14:textId="14984E15" w:rsidR="00783DCC" w:rsidRDefault="00783DCC" w:rsidP="00284560">
      <w:pPr>
        <w:spacing w:line="276" w:lineRule="auto"/>
        <w:ind w:right="51"/>
        <w:rPr>
          <w:rFonts w:ascii="Century Gothic" w:hAnsi="Century Gothic" w:cs="Arial"/>
          <w:b/>
          <w:iCs/>
          <w:szCs w:val="22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9935"/>
      </w:tblGrid>
      <w:tr w:rsidR="00C17C00" w:rsidRPr="00C17C00" w14:paraId="45A72720" w14:textId="77777777" w:rsidTr="00F46D53">
        <w:trPr>
          <w:trHeight w:val="280"/>
          <w:jc w:val="center"/>
        </w:trPr>
        <w:tc>
          <w:tcPr>
            <w:tcW w:w="2399" w:type="dxa"/>
            <w:shd w:val="clear" w:color="auto" w:fill="4472C4" w:themeFill="accent1"/>
          </w:tcPr>
          <w:p w14:paraId="5A54C783" w14:textId="77777777" w:rsidR="00C17C00" w:rsidRPr="00C17C00" w:rsidRDefault="00C17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C17C00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Producto</w:t>
            </w:r>
          </w:p>
        </w:tc>
        <w:tc>
          <w:tcPr>
            <w:tcW w:w="9935" w:type="dxa"/>
            <w:shd w:val="clear" w:color="auto" w:fill="4472C4" w:themeFill="accent1"/>
          </w:tcPr>
          <w:p w14:paraId="0176CD1B" w14:textId="77777777" w:rsidR="00C17C00" w:rsidRPr="00C17C00" w:rsidRDefault="00C17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  <w:r w:rsidRPr="00C17C00">
              <w:rPr>
                <w:rFonts w:ascii="Calibri" w:hAnsi="Calibri" w:cs="Calibri"/>
                <w:color w:val="FFFFFF" w:themeColor="background1"/>
                <w:sz w:val="20"/>
                <w:szCs w:val="20"/>
              </w:rPr>
              <w:t>Resultados</w:t>
            </w:r>
          </w:p>
        </w:tc>
      </w:tr>
      <w:tr w:rsidR="00F46D53" w14:paraId="35096ACE" w14:textId="77777777" w:rsidTr="00F46D53">
        <w:trPr>
          <w:trHeight w:val="763"/>
          <w:jc w:val="center"/>
        </w:trPr>
        <w:tc>
          <w:tcPr>
            <w:tcW w:w="2399" w:type="dxa"/>
          </w:tcPr>
          <w:p w14:paraId="3894D7CF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MIR 2016</w:t>
            </w:r>
          </w:p>
        </w:tc>
        <w:tc>
          <w:tcPr>
            <w:tcW w:w="9935" w:type="dxa"/>
          </w:tcPr>
          <w:p w14:paraId="4127F5B1" w14:textId="1CBE5593" w:rsidR="00C17C00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Respecto a la MIR 2014 se ha mejorado</w:t>
            </w:r>
            <w:r w:rsidR="00D6011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 manera general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 MIR del programa. En la MIR 2017 se identifica el problema, se han reflejado cambios en la población objetivo, se ha mejorado el </w:t>
            </w:r>
            <w:r w:rsidR="00FC587A">
              <w:rPr>
                <w:rFonts w:ascii="Calibri" w:hAnsi="Calibri" w:cs="Calibri"/>
                <w:color w:val="000000"/>
                <w:sz w:val="20"/>
                <w:szCs w:val="20"/>
              </w:rPr>
              <w:t>propósito, se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han definido los bienes del programa, se han esclarecido los procesos de operación de las diversos tipos de becas y las actividades son más claras.</w:t>
            </w:r>
          </w:p>
        </w:tc>
      </w:tr>
      <w:tr w:rsidR="00F46D53" w14:paraId="1D60AB76" w14:textId="77777777" w:rsidTr="00F46D53">
        <w:trPr>
          <w:trHeight w:val="595"/>
          <w:jc w:val="center"/>
        </w:trPr>
        <w:tc>
          <w:tcPr>
            <w:tcW w:w="2399" w:type="dxa"/>
          </w:tcPr>
          <w:p w14:paraId="45534311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ROP 2016 y ROP 2017</w:t>
            </w:r>
          </w:p>
        </w:tc>
        <w:tc>
          <w:tcPr>
            <w:tcW w:w="9935" w:type="dxa"/>
          </w:tcPr>
          <w:p w14:paraId="2640C209" w14:textId="7426476B" w:rsidR="00C17C00" w:rsidRPr="00EF788F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En las Reglas de Operación 2016 y 2017 se ha mejorado la identificación de los componentes del programa y se esclarecieron los criterios de elegibilidad respecto a las ROP 2014.</w:t>
            </w:r>
            <w:r w:rsidR="00FC587A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Además,</w:t>
            </w:r>
            <w:r w:rsidR="00FC587A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se agregó otra alinea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ción al PND 2013-2018</w:t>
            </w:r>
          </w:p>
        </w:tc>
      </w:tr>
      <w:tr w:rsidR="00F46D53" w14:paraId="25D398B0" w14:textId="77777777" w:rsidTr="00DE20F6">
        <w:trPr>
          <w:trHeight w:val="1230"/>
          <w:jc w:val="center"/>
        </w:trPr>
        <w:tc>
          <w:tcPr>
            <w:tcW w:w="2399" w:type="dxa"/>
          </w:tcPr>
          <w:p w14:paraId="209E9FB1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Informe de avance de indicadores para Cuenta Pública 2015</w:t>
            </w:r>
          </w:p>
        </w:tc>
        <w:tc>
          <w:tcPr>
            <w:tcW w:w="9935" w:type="dxa"/>
          </w:tcPr>
          <w:p w14:paraId="00610A45" w14:textId="2E0774DC" w:rsidR="00C17C00" w:rsidRPr="00EF788F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Para resolver la ASM "Existen mecanismos de rendición de cuentas" se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plantea 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que el resultado sea el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“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Informe de avance de indicadores para Cuenta Pública 2015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”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No es claro que e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ste resultado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de respuesta a esta ASM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Sin embargo, a través del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Informe General de Cuenta Pública 2015 y en el Estado Analítico del Ejercicio del Presupuesto de Egresos en Clasificación Funcional-Programática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se muestra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9728C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la entrega de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evidencia de esta rendición de cuentas 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respecto al Programa Nacional de Becas en su ejercicio 2015. </w:t>
            </w:r>
          </w:p>
        </w:tc>
      </w:tr>
      <w:tr w:rsidR="00F46D53" w14:paraId="44D613C0" w14:textId="77777777" w:rsidTr="00DE20F6">
        <w:trPr>
          <w:trHeight w:val="2254"/>
          <w:jc w:val="center"/>
        </w:trPr>
        <w:tc>
          <w:tcPr>
            <w:tcW w:w="2399" w:type="dxa"/>
          </w:tcPr>
          <w:p w14:paraId="41956471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Documento Diagnóstico</w:t>
            </w:r>
          </w:p>
        </w:tc>
        <w:tc>
          <w:tcPr>
            <w:tcW w:w="9935" w:type="dxa"/>
          </w:tcPr>
          <w:p w14:paraId="1B3B1660" w14:textId="7B8B85D3" w:rsidR="00C17C00" w:rsidRPr="00EF788F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el diagnóstico </w:t>
            </w:r>
            <w:r w:rsidR="00BD12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2017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se ob</w:t>
            </w:r>
            <w:r w:rsidR="00BD12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servan diversos resultados: a) s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e actualizó el presupuesto 2016 y la estimación del costo operativo d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el programa para este mismo año;</w:t>
            </w:r>
            <w:r w:rsidR="00BD12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b) e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xisten datos sobre la población potencial y objetivo 2016. Se cuantificó por Unidad Responsable,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pero,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aunque se buscaba que las 19 unidades responsables identificaran la población potencial y objetivo, la Dirección General de Relaciones Internacionales (DGRI) no presentó estos datos. El dato sobre población objetivo general del programa no se ajusta a la suma de los datos presentados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los cuadros del diagnóstico. 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Esta información en el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diagnóstico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en general responde a la mejora en la cuantifi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cación de la población objetivo;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c)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BD12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n el Diagnóstico no se aprecian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los logros del programa;</w:t>
            </w:r>
            <w:r w:rsidR="00BD12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d) e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 diagnóstico señala datos de poblaciones y presupuestos 2016 por lo que está actualizado para este ejercicio. Quizá sería importante incorporar los datos históricos en general, así se apreciaría la evolución en los datos esenciales del programa y su relación con la </w:t>
            </w:r>
            <w:r w:rsidR="00FC587A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información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actualizada. </w:t>
            </w:r>
          </w:p>
        </w:tc>
      </w:tr>
      <w:tr w:rsidR="00F46D53" w14:paraId="520D6FBC" w14:textId="77777777" w:rsidTr="00F46D53">
        <w:trPr>
          <w:trHeight w:val="1293"/>
          <w:jc w:val="center"/>
        </w:trPr>
        <w:tc>
          <w:tcPr>
            <w:tcW w:w="2399" w:type="dxa"/>
          </w:tcPr>
          <w:p w14:paraId="63C09366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Listado de becarias</w:t>
            </w:r>
          </w:p>
        </w:tc>
        <w:tc>
          <w:tcPr>
            <w:tcW w:w="9935" w:type="dxa"/>
          </w:tcPr>
          <w:p w14:paraId="6DE3AA69" w14:textId="39D1ED57" w:rsidR="00C17C00" w:rsidRPr="00EF788F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 identificó que existe complementariedad en 3,243 casos de beneficiarias que reciben la Beca de Apoyo a la Educación Básica de Madres Jóvenes y Embarazadas del PNB y los apoyos del Programa de Inclusión Social Prospera. Esta evidencia se muestra a través del Oficio DGLP/118/2017 mediante el cual la Dirección General de Padrón y Liquidación de la Coordinación Nacional del Programa Prospera notifica a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 Dirección General de Educación Indígena los resultados de la confronta de padrones. </w:t>
            </w:r>
          </w:p>
        </w:tc>
      </w:tr>
      <w:tr w:rsidR="00F46D53" w14:paraId="476023CD" w14:textId="77777777" w:rsidTr="00F46D53">
        <w:trPr>
          <w:trHeight w:val="777"/>
          <w:jc w:val="center"/>
        </w:trPr>
        <w:tc>
          <w:tcPr>
            <w:tcW w:w="2399" w:type="dxa"/>
          </w:tcPr>
          <w:p w14:paraId="68846738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Padrón Actualizado</w:t>
            </w:r>
          </w:p>
        </w:tc>
        <w:tc>
          <w:tcPr>
            <w:tcW w:w="9935" w:type="dxa"/>
          </w:tcPr>
          <w:p w14:paraId="3A78CD13" w14:textId="790374AD" w:rsidR="00C17C00" w:rsidRPr="00EF788F" w:rsidRDefault="00C17C00" w:rsidP="00DE20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Aunque se señaló que la actualización del padrón </w:t>
            </w:r>
            <w:r w:rsidR="00FC587A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de beneficiarios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del Programa se reflejaría en el documento diagnóstico (ligas de consulta por UR con campos en común</w:t>
            </w:r>
            <w:r w:rsidR="00FC587A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), sólo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se incluyen siete enlaces a padrones de beneficiarios del Programa (41%). Uno de estos enlaces está roto. De ahí que los resultados de este ASM no se </w:t>
            </w:r>
            <w:r w:rsidR="001D497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han 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logrado del todo. </w:t>
            </w:r>
          </w:p>
        </w:tc>
      </w:tr>
      <w:tr w:rsidR="00F46D53" w14:paraId="72E2FD5F" w14:textId="77777777" w:rsidTr="00F46D53">
        <w:trPr>
          <w:trHeight w:val="840"/>
          <w:jc w:val="center"/>
        </w:trPr>
        <w:tc>
          <w:tcPr>
            <w:tcW w:w="2399" w:type="dxa"/>
          </w:tcPr>
          <w:p w14:paraId="7F9849B3" w14:textId="77777777" w:rsidR="00C17C00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Plantilla de población atendida con los criterios solicitados (grupos de edad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y desagregación geográfica municipal y localidad)</w:t>
            </w:r>
          </w:p>
        </w:tc>
        <w:tc>
          <w:tcPr>
            <w:tcW w:w="9935" w:type="dxa"/>
          </w:tcPr>
          <w:p w14:paraId="105047E6" w14:textId="0A3EFF80" w:rsidR="00C17C00" w:rsidRPr="00EF788F" w:rsidRDefault="00C17C00" w:rsidP="001D49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Mejora de la plantilla de población atendida. </w:t>
            </w:r>
            <w:r w:rsidR="001D4979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ara tal fin se puede utilizar la plantilla de población atendida de CONEVAL.</w:t>
            </w:r>
          </w:p>
        </w:tc>
      </w:tr>
      <w:tr w:rsidR="00F46D53" w14:paraId="50A0FDA0" w14:textId="77777777" w:rsidTr="00F46D53">
        <w:trPr>
          <w:trHeight w:val="840"/>
          <w:jc w:val="center"/>
        </w:trPr>
        <w:tc>
          <w:tcPr>
            <w:tcW w:w="2399" w:type="dxa"/>
          </w:tcPr>
          <w:p w14:paraId="091F15E8" w14:textId="77777777" w:rsidR="00C17C00" w:rsidRPr="001B4CBF" w:rsidRDefault="00C17C0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Reportes estadísticos</w:t>
            </w:r>
          </w:p>
        </w:tc>
        <w:tc>
          <w:tcPr>
            <w:tcW w:w="9935" w:type="dxa"/>
          </w:tcPr>
          <w:p w14:paraId="08982A72" w14:textId="77FE2943" w:rsidR="00C17C00" w:rsidRPr="00EF788F" w:rsidRDefault="00EF788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Aunque hay información estadística a nivel general en las diferentes UR, no se</w:t>
            </w:r>
            <w:r w:rsidR="00C17C00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han presentado los logros del Programa Nacional de Becas en el portal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electrónico y</w:t>
            </w:r>
            <w:r w:rsidR="00C17C00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la información de los padrones es heterogénea entre las unidades </w:t>
            </w:r>
            <w:r w:rsidR="00D60111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>responsables.</w:t>
            </w:r>
          </w:p>
        </w:tc>
      </w:tr>
      <w:tr w:rsidR="00F46D53" w14:paraId="7C76215A" w14:textId="77777777" w:rsidTr="00F46D53">
        <w:trPr>
          <w:trHeight w:val="280"/>
          <w:jc w:val="center"/>
        </w:trPr>
        <w:tc>
          <w:tcPr>
            <w:tcW w:w="2399" w:type="dxa"/>
          </w:tcPr>
          <w:p w14:paraId="26772BF0" w14:textId="77777777" w:rsidR="00FC587A" w:rsidRDefault="00FC587A" w:rsidP="005B53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MIR 2018</w:t>
            </w:r>
          </w:p>
        </w:tc>
        <w:tc>
          <w:tcPr>
            <w:tcW w:w="9935" w:type="dxa"/>
          </w:tcPr>
          <w:p w14:paraId="44DD64F0" w14:textId="683FA6EA" w:rsidR="00FC587A" w:rsidRPr="00EF788F" w:rsidRDefault="006A7FC0" w:rsidP="005B530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Ya se cuenta con la MIR 2018 </w:t>
            </w:r>
            <w:r w:rsidR="004F0373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con metas que pueden derivar en una </w:t>
            </w:r>
            <w:r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comparación </w:t>
            </w:r>
            <w:r w:rsidR="00F7448B" w:rsidRPr="00EF788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metas sexenales a nivel Propósito y Componente como lo planteado en las recomendaciones. </w:t>
            </w:r>
          </w:p>
        </w:tc>
      </w:tr>
    </w:tbl>
    <w:p w14:paraId="1F5C201D" w14:textId="77777777" w:rsidR="00F473D7" w:rsidRDefault="00F473D7" w:rsidP="00284560">
      <w:pPr>
        <w:spacing w:line="276" w:lineRule="auto"/>
        <w:ind w:right="51"/>
        <w:rPr>
          <w:rFonts w:ascii="Century Gothic" w:hAnsi="Century Gothic" w:cs="Arial"/>
          <w:b/>
          <w:iCs/>
          <w:szCs w:val="22"/>
          <w:lang w:val="es-MX"/>
        </w:rPr>
      </w:pPr>
    </w:p>
    <w:p w14:paraId="72E1CD43" w14:textId="18AB555F" w:rsidR="00F46D53" w:rsidRDefault="00F46D53" w:rsidP="00DF0E99">
      <w:pPr>
        <w:rPr>
          <w:rFonts w:ascii="Century Gothic" w:hAnsi="Century Gothic" w:cs="Arial"/>
          <w:b/>
          <w:iCs/>
          <w:szCs w:val="22"/>
          <w:lang w:val="es-MX"/>
        </w:rPr>
      </w:pPr>
    </w:p>
    <w:p w14:paraId="5B8C803E" w14:textId="3820C2EF" w:rsidR="00F46D53" w:rsidRDefault="00F46D53">
      <w:pPr>
        <w:rPr>
          <w:rFonts w:ascii="Century Gothic" w:hAnsi="Century Gothic" w:cs="Arial"/>
          <w:b/>
          <w:iCs/>
          <w:szCs w:val="22"/>
          <w:lang w:val="es-MX"/>
        </w:rPr>
      </w:pPr>
      <w:r>
        <w:rPr>
          <w:rFonts w:ascii="Century Gothic" w:hAnsi="Century Gothic" w:cs="Arial"/>
          <w:b/>
          <w:iCs/>
          <w:szCs w:val="22"/>
          <w:lang w:val="es-MX"/>
        </w:rPr>
        <w:br w:type="page"/>
      </w:r>
    </w:p>
    <w:sectPr w:rsidR="00F46D53" w:rsidSect="006B40E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46609"/>
    <w:multiLevelType w:val="hybridMultilevel"/>
    <w:tmpl w:val="6AD8394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D5617"/>
    <w:multiLevelType w:val="hybridMultilevel"/>
    <w:tmpl w:val="E28A8A86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4B21AB3"/>
    <w:multiLevelType w:val="hybridMultilevel"/>
    <w:tmpl w:val="D99AAAB4"/>
    <w:lvl w:ilvl="0" w:tplc="0C0A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FE"/>
    <w:rsid w:val="00053164"/>
    <w:rsid w:val="0006342C"/>
    <w:rsid w:val="000836F0"/>
    <w:rsid w:val="000921CB"/>
    <w:rsid w:val="00092E2D"/>
    <w:rsid w:val="000C08B2"/>
    <w:rsid w:val="000C7504"/>
    <w:rsid w:val="000F3223"/>
    <w:rsid w:val="00102038"/>
    <w:rsid w:val="00105CCD"/>
    <w:rsid w:val="00124149"/>
    <w:rsid w:val="00164531"/>
    <w:rsid w:val="00176F8E"/>
    <w:rsid w:val="001B4CBF"/>
    <w:rsid w:val="001D4979"/>
    <w:rsid w:val="001E6158"/>
    <w:rsid w:val="002248E4"/>
    <w:rsid w:val="00262FEA"/>
    <w:rsid w:val="00273281"/>
    <w:rsid w:val="00284560"/>
    <w:rsid w:val="002C04F9"/>
    <w:rsid w:val="002C7F44"/>
    <w:rsid w:val="002E405E"/>
    <w:rsid w:val="003066C6"/>
    <w:rsid w:val="003102AF"/>
    <w:rsid w:val="003145C8"/>
    <w:rsid w:val="00317313"/>
    <w:rsid w:val="00333807"/>
    <w:rsid w:val="00352E20"/>
    <w:rsid w:val="003666A8"/>
    <w:rsid w:val="003A5A14"/>
    <w:rsid w:val="003D43E9"/>
    <w:rsid w:val="0045161C"/>
    <w:rsid w:val="00483143"/>
    <w:rsid w:val="004866C3"/>
    <w:rsid w:val="00487266"/>
    <w:rsid w:val="004A1439"/>
    <w:rsid w:val="004C745D"/>
    <w:rsid w:val="004F0373"/>
    <w:rsid w:val="005000E3"/>
    <w:rsid w:val="00571A78"/>
    <w:rsid w:val="005816FF"/>
    <w:rsid w:val="005B5309"/>
    <w:rsid w:val="005C7E9A"/>
    <w:rsid w:val="006266F4"/>
    <w:rsid w:val="00627E6D"/>
    <w:rsid w:val="00644507"/>
    <w:rsid w:val="006561BD"/>
    <w:rsid w:val="006A7FC0"/>
    <w:rsid w:val="006B40E7"/>
    <w:rsid w:val="00701CBA"/>
    <w:rsid w:val="00723CD1"/>
    <w:rsid w:val="0076590F"/>
    <w:rsid w:val="007779C4"/>
    <w:rsid w:val="00783DCC"/>
    <w:rsid w:val="007A50D9"/>
    <w:rsid w:val="007E59A9"/>
    <w:rsid w:val="007F539F"/>
    <w:rsid w:val="008172D9"/>
    <w:rsid w:val="00824BDE"/>
    <w:rsid w:val="008435DB"/>
    <w:rsid w:val="0086675F"/>
    <w:rsid w:val="008F1624"/>
    <w:rsid w:val="009071FA"/>
    <w:rsid w:val="0094007D"/>
    <w:rsid w:val="009520EB"/>
    <w:rsid w:val="00965474"/>
    <w:rsid w:val="00967A93"/>
    <w:rsid w:val="009B1F2C"/>
    <w:rsid w:val="009C589B"/>
    <w:rsid w:val="009F1CC4"/>
    <w:rsid w:val="00A03746"/>
    <w:rsid w:val="00A30950"/>
    <w:rsid w:val="00A83AFE"/>
    <w:rsid w:val="00A869BC"/>
    <w:rsid w:val="00A94A7F"/>
    <w:rsid w:val="00B06DE2"/>
    <w:rsid w:val="00B55ADA"/>
    <w:rsid w:val="00BD128B"/>
    <w:rsid w:val="00BD5E41"/>
    <w:rsid w:val="00BE3087"/>
    <w:rsid w:val="00BF25AF"/>
    <w:rsid w:val="00C17C00"/>
    <w:rsid w:val="00C4510F"/>
    <w:rsid w:val="00CB0B79"/>
    <w:rsid w:val="00CB3F16"/>
    <w:rsid w:val="00CC75EC"/>
    <w:rsid w:val="00CD35F9"/>
    <w:rsid w:val="00D60111"/>
    <w:rsid w:val="00D75317"/>
    <w:rsid w:val="00DE20F6"/>
    <w:rsid w:val="00DF0E99"/>
    <w:rsid w:val="00DF4543"/>
    <w:rsid w:val="00E11F55"/>
    <w:rsid w:val="00E67C95"/>
    <w:rsid w:val="00E95DE7"/>
    <w:rsid w:val="00E9728C"/>
    <w:rsid w:val="00EA48A3"/>
    <w:rsid w:val="00ED2B76"/>
    <w:rsid w:val="00EF788F"/>
    <w:rsid w:val="00F03EB5"/>
    <w:rsid w:val="00F46D53"/>
    <w:rsid w:val="00F473D7"/>
    <w:rsid w:val="00F56AB8"/>
    <w:rsid w:val="00F7448B"/>
    <w:rsid w:val="00F84940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79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C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4 Párrafo de lista,Figuras,Dot pt,No Spacing1,List Paragraph Char Char Char,Indicator Text,List Paragraph1,Numbered Para 1,DH1,Listas,lp1,Light Grid - Accent 31,Párrafo Título 3"/>
    <w:basedOn w:val="Normal"/>
    <w:link w:val="PrrafodelistaCar"/>
    <w:uiPriority w:val="34"/>
    <w:qFormat/>
    <w:rsid w:val="00A83AFE"/>
    <w:pPr>
      <w:ind w:left="720"/>
      <w:contextualSpacing/>
    </w:pPr>
    <w:rPr>
      <w:rFonts w:ascii="Times" w:eastAsia="Times" w:hAnsi="Times" w:cs="Times New Roman"/>
      <w:szCs w:val="20"/>
      <w:lang w:eastAsia="es-ES"/>
    </w:r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,Listas Car,lp1 Car,Light Grid - Accent 31 Car,Párrafo Título 3 Car"/>
    <w:link w:val="Prrafodelista"/>
    <w:uiPriority w:val="34"/>
    <w:rsid w:val="00A83AFE"/>
    <w:rPr>
      <w:rFonts w:ascii="Times" w:eastAsia="Times" w:hAnsi="Times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6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en de título"/>
</file>

<file path=customXml/itemProps1.xml><?xml version="1.0" encoding="utf-8"?>
<ds:datastoreItem xmlns:ds="http://schemas.openxmlformats.org/officeDocument/2006/customXml" ds:itemID="{DA8D4E35-F4BE-4359-89F7-3F19DE3D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Nélyda Solana Villanueva</dc:creator>
  <cp:keywords/>
  <dc:description/>
  <cp:lastModifiedBy>Usuario de Windows</cp:lastModifiedBy>
  <cp:revision>2</cp:revision>
  <dcterms:created xsi:type="dcterms:W3CDTF">2018-08-10T15:17:00Z</dcterms:created>
  <dcterms:modified xsi:type="dcterms:W3CDTF">2018-08-10T15:17:00Z</dcterms:modified>
</cp:coreProperties>
</file>